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6"/>
        <w:gridCol w:w="1313"/>
        <w:gridCol w:w="1540"/>
        <w:gridCol w:w="1405"/>
        <w:gridCol w:w="1755"/>
        <w:gridCol w:w="1676"/>
      </w:tblGrid>
      <w:tr w:rsidR="004F2498" w14:paraId="47556CC9" w14:textId="77777777" w:rsidTr="00760659">
        <w:trPr>
          <w:trHeight w:val="416"/>
        </w:trPr>
        <w:tc>
          <w:tcPr>
            <w:tcW w:w="959" w:type="dxa"/>
            <w:shd w:val="clear" w:color="auto" w:fill="auto"/>
          </w:tcPr>
          <w:p w14:paraId="4BABB8A3" w14:textId="264D999D" w:rsidR="004F2498" w:rsidRDefault="00706AA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  <w:t>D.O.P</w:t>
            </w:r>
          </w:p>
        </w:tc>
        <w:tc>
          <w:tcPr>
            <w:tcW w:w="1417" w:type="dxa"/>
            <w:shd w:val="clear" w:color="auto" w:fill="auto"/>
          </w:tcPr>
          <w:p w14:paraId="50A3BEEB" w14:textId="77777777" w:rsidR="004F2498" w:rsidRDefault="005B3B8D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Evidence</w:t>
            </w:r>
          </w:p>
          <w:p w14:paraId="15D71BE9" w14:textId="34E01BDB" w:rsidR="005B3B8D" w:rsidRPr="004F2498" w:rsidRDefault="005B3B8D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category</w:t>
            </w:r>
          </w:p>
        </w:tc>
        <w:tc>
          <w:tcPr>
            <w:tcW w:w="2268" w:type="dxa"/>
            <w:shd w:val="clear" w:color="auto" w:fill="auto"/>
          </w:tcPr>
          <w:p w14:paraId="78567330" w14:textId="77777777" w:rsidR="004F2498" w:rsidRP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 w:rsidRPr="004F2498"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Initial</w:t>
            </w:r>
          </w:p>
        </w:tc>
        <w:tc>
          <w:tcPr>
            <w:tcW w:w="2977" w:type="dxa"/>
            <w:shd w:val="clear" w:color="auto" w:fill="auto"/>
          </w:tcPr>
          <w:p w14:paraId="278DE576" w14:textId="77777777" w:rsidR="004F2498" w:rsidRP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 w:rsidRPr="004F2498"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e-enabled</w:t>
            </w:r>
          </w:p>
        </w:tc>
        <w:tc>
          <w:tcPr>
            <w:tcW w:w="3544" w:type="dxa"/>
            <w:shd w:val="clear" w:color="auto" w:fill="auto"/>
          </w:tcPr>
          <w:p w14:paraId="09A89E70" w14:textId="77777777" w:rsidR="004F2498" w:rsidRP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 w:rsidRPr="004F2498"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e-confident</w:t>
            </w:r>
          </w:p>
        </w:tc>
        <w:tc>
          <w:tcPr>
            <w:tcW w:w="3009" w:type="dxa"/>
            <w:shd w:val="clear" w:color="auto" w:fill="auto"/>
          </w:tcPr>
          <w:p w14:paraId="24D2D581" w14:textId="77777777" w:rsidR="004F2498" w:rsidRP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 w:rsidRPr="004F2498"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e-mature</w:t>
            </w:r>
          </w:p>
        </w:tc>
      </w:tr>
      <w:tr w:rsidR="004F2498" w14:paraId="5917E516" w14:textId="77777777" w:rsidTr="00760659">
        <w:tc>
          <w:tcPr>
            <w:tcW w:w="959" w:type="dxa"/>
            <w:vMerge w:val="restart"/>
            <w:shd w:val="clear" w:color="auto" w:fill="auto"/>
            <w:textDirection w:val="btLr"/>
          </w:tcPr>
          <w:p w14:paraId="333B3A54" w14:textId="75D704BE" w:rsidR="004F2498" w:rsidRPr="005B3B8D" w:rsidRDefault="00760659" w:rsidP="0076065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Arial" w:hAnsi="Arial" w:cs="TheSansSemiBold-Plain"/>
                <w:color w:val="000000" w:themeColor="text1"/>
                <w:sz w:val="40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40"/>
                <w:szCs w:val="16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auto"/>
          </w:tcPr>
          <w:p w14:paraId="02398428" w14:textId="77777777" w:rsidR="004F2498" w:rsidRP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</w:pPr>
            <w:r w:rsidRPr="004F2498">
              <w:rPr>
                <w:rFonts w:ascii="Arial" w:hAnsi="Arial" w:cs="TheSansSemiBold-Plain"/>
                <w:b/>
                <w:color w:val="000000"/>
                <w:sz w:val="22"/>
                <w:szCs w:val="16"/>
                <w:lang w:val="en-US"/>
              </w:rPr>
              <w:t>Vision</w:t>
            </w:r>
          </w:p>
        </w:tc>
        <w:tc>
          <w:tcPr>
            <w:tcW w:w="2268" w:type="dxa"/>
            <w:shd w:val="clear" w:color="auto" w:fill="auto"/>
          </w:tcPr>
          <w:p w14:paraId="738FABA0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Vision focuses mainly on ICT equipment. </w:t>
            </w:r>
          </w:p>
        </w:tc>
        <w:tc>
          <w:tcPr>
            <w:tcW w:w="2977" w:type="dxa"/>
            <w:shd w:val="clear" w:color="auto" w:fill="auto"/>
          </w:tcPr>
          <w:p w14:paraId="69B802B3" w14:textId="77777777" w:rsidR="004F2498" w:rsidRPr="002C2B51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e-Learning vision is developed by</w:t>
            </w:r>
            <w:r w:rsidR="002C2B51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e-Learning Team</w:t>
            </w:r>
          </w:p>
        </w:tc>
        <w:tc>
          <w:tcPr>
            <w:tcW w:w="3544" w:type="dxa"/>
            <w:shd w:val="clear" w:color="auto" w:fill="auto"/>
          </w:tcPr>
          <w:p w14:paraId="534C7B3F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e-Learning vision is fully integrated into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the whole school vision. </w:t>
            </w:r>
          </w:p>
        </w:tc>
        <w:tc>
          <w:tcPr>
            <w:tcW w:w="3009" w:type="dxa"/>
            <w:shd w:val="clear" w:color="auto" w:fill="auto"/>
          </w:tcPr>
          <w:p w14:paraId="38210125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e-Learning vision is 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wide ranging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and shared by all stakeholders. It is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actively tested through the pupil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learning experience.</w:t>
            </w:r>
          </w:p>
          <w:p w14:paraId="6535B970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</w:pP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</w:p>
        </w:tc>
      </w:tr>
      <w:tr w:rsidR="004F2498" w14:paraId="000BC130" w14:textId="77777777" w:rsidTr="00760659">
        <w:tc>
          <w:tcPr>
            <w:tcW w:w="959" w:type="dxa"/>
            <w:vMerge/>
            <w:shd w:val="clear" w:color="auto" w:fill="auto"/>
          </w:tcPr>
          <w:p w14:paraId="04BC7050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C2D4F14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  <w:t>Plan</w:t>
            </w:r>
          </w:p>
        </w:tc>
        <w:tc>
          <w:tcPr>
            <w:tcW w:w="2268" w:type="dxa"/>
          </w:tcPr>
          <w:p w14:paraId="013F9DF1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Basic ICT Plan is in place. </w:t>
            </w:r>
          </w:p>
        </w:tc>
        <w:tc>
          <w:tcPr>
            <w:tcW w:w="2977" w:type="dxa"/>
          </w:tcPr>
          <w:p w14:paraId="009ADAB4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e-Learning Plan has been developed by</w:t>
            </w:r>
            <w:r w:rsidR="002C2B51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e-Learning t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eam</w:t>
            </w:r>
          </w:p>
          <w:p w14:paraId="4FC4EF0D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One teacher or a group of teachers has assumed leadership for ICT planning in the school</w:t>
            </w:r>
          </w:p>
        </w:tc>
        <w:tc>
          <w:tcPr>
            <w:tcW w:w="3544" w:type="dxa"/>
          </w:tcPr>
          <w:p w14:paraId="5113ABE2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Comprehensive e-Learning Plan is integral to the whole school plan.</w:t>
            </w:r>
          </w:p>
          <w:p w14:paraId="7AB5ECBE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The development of the plan is led by Head / ICT </w:t>
            </w:r>
            <w:proofErr w:type="spellStart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co-ordinating</w:t>
            </w:r>
            <w:proofErr w:type="spellEnd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teacher / e-Learning Team, with all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staff contributing and whole school acceptance. </w:t>
            </w:r>
            <w:r w:rsid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D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esignated ICT </w:t>
            </w:r>
            <w:proofErr w:type="spellStart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co-ordinating</w:t>
            </w:r>
            <w:proofErr w:type="spellEnd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teacher with clearly defined duties and responsibilities.</w:t>
            </w:r>
          </w:p>
        </w:tc>
        <w:tc>
          <w:tcPr>
            <w:tcW w:w="3009" w:type="dxa"/>
          </w:tcPr>
          <w:p w14:paraId="30482797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Teachers implement the e-Learning Plan in their daily work. Staff &amp; students are actively engaged in innovative and exemplary practice.</w:t>
            </w:r>
          </w:p>
          <w:p w14:paraId="5B239B5A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4F2498" w14:paraId="447C72BC" w14:textId="77777777" w:rsidTr="00760659">
        <w:tc>
          <w:tcPr>
            <w:tcW w:w="959" w:type="dxa"/>
            <w:vMerge/>
            <w:shd w:val="clear" w:color="auto" w:fill="auto"/>
          </w:tcPr>
          <w:p w14:paraId="5DFEFAB8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9E54C19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  <w:t>Integration</w:t>
            </w:r>
          </w:p>
        </w:tc>
        <w:tc>
          <w:tcPr>
            <w:tcW w:w="2268" w:type="dxa"/>
          </w:tcPr>
          <w:p w14:paraId="0CA527BD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Focus is mainly 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on ICT equipment and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the acquisition of basic ICT skills</w:t>
            </w:r>
          </w:p>
        </w:tc>
        <w:tc>
          <w:tcPr>
            <w:tcW w:w="2977" w:type="dxa"/>
          </w:tcPr>
          <w:p w14:paraId="36F22A2B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Focus is mainly on supporting the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i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ntegration of ICT usage throughout the school. </w:t>
            </w: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</w:p>
          <w:p w14:paraId="0348896B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3544" w:type="dxa"/>
          </w:tcPr>
          <w:p w14:paraId="10CC8087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Focus is mainly on supporting more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comprehensive integration of ICT and the exploration of new and more effective approaches to ICT integration</w:t>
            </w:r>
          </w:p>
        </w:tc>
        <w:tc>
          <w:tcPr>
            <w:tcW w:w="3009" w:type="dxa"/>
          </w:tcPr>
          <w:p w14:paraId="106B666F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Focus is mainly on supporting and facilitating </w:t>
            </w:r>
            <w:proofErr w:type="spellStart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personalised</w:t>
            </w:r>
            <w:proofErr w:type="spellEnd"/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and self-directed learning. </w:t>
            </w: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</w:p>
          <w:p w14:paraId="03455AF6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b/>
                <w:bCs/>
                <w:color w:val="FFFFFF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b/>
                <w:bCs/>
                <w:color w:val="FFFFFF"/>
                <w:sz w:val="20"/>
                <w:szCs w:val="16"/>
                <w:lang w:val="en-US"/>
              </w:rPr>
              <w:t>Acceptable</w:t>
            </w:r>
          </w:p>
          <w:p w14:paraId="16BF5068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</w:p>
        </w:tc>
      </w:tr>
      <w:tr w:rsidR="004F2498" w14:paraId="447E3F7A" w14:textId="77777777" w:rsidTr="00760659">
        <w:tc>
          <w:tcPr>
            <w:tcW w:w="959" w:type="dxa"/>
            <w:vMerge/>
            <w:shd w:val="clear" w:color="auto" w:fill="auto"/>
          </w:tcPr>
          <w:p w14:paraId="754A75AD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49176D1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  <w:t>Acceptable Use policy</w:t>
            </w:r>
          </w:p>
        </w:tc>
        <w:tc>
          <w:tcPr>
            <w:tcW w:w="2268" w:type="dxa"/>
          </w:tcPr>
          <w:p w14:paraId="1B880B44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School has developed an Acceptable Use</w:t>
            </w:r>
          </w:p>
          <w:p w14:paraId="4D24F34A" w14:textId="77777777" w:rsidR="004F2498" w:rsidRPr="004E272D" w:rsidRDefault="002C2B51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Policy for the Internet or has signed up to LEA policy</w:t>
            </w:r>
            <w:r w:rsidR="004F2498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D963195" w14:textId="77777777" w:rsidR="004F2498" w:rsidRPr="004E272D" w:rsidRDefault="002C2B51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School has developed its own</w:t>
            </w:r>
            <w:r w:rsidR="004F2498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AUP following consultation with staff,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pupils</w:t>
            </w:r>
            <w:r w:rsidR="004F2498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, parents, governors</w:t>
            </w:r>
          </w:p>
        </w:tc>
        <w:tc>
          <w:tcPr>
            <w:tcW w:w="3544" w:type="dxa"/>
          </w:tcPr>
          <w:p w14:paraId="25F8D07C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School has developed and ratified an AUP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for Internet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and ICT use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following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consultations with staff, students, and parents. All stakeholders are familiar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with its contents and the plan is fully implemented.</w:t>
            </w:r>
          </w:p>
        </w:tc>
        <w:tc>
          <w:tcPr>
            <w:tcW w:w="3009" w:type="dxa"/>
          </w:tcPr>
          <w:p w14:paraId="5562F718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The AUP accommodates innovative use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of new technologies, and facilitates the development of an ethical and responsible approach to the use of these technologies.</w:t>
            </w:r>
          </w:p>
          <w:p w14:paraId="50AE2996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</w:pPr>
            <w:r w:rsidRPr="004E272D">
              <w:rPr>
                <w:rFonts w:ascii="Arial" w:hAnsi="Arial" w:cs="TheSansSemiBold-Plain"/>
                <w:color w:val="FFFFFF"/>
                <w:sz w:val="20"/>
                <w:szCs w:val="40"/>
                <w:lang w:val="en-US"/>
              </w:rPr>
              <w:t>l</w:t>
            </w:r>
          </w:p>
        </w:tc>
      </w:tr>
      <w:tr w:rsidR="004F2498" w14:paraId="091B264F" w14:textId="77777777" w:rsidTr="00760659">
        <w:trPr>
          <w:trHeight w:val="530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A55F8F2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F3C3CA6" w14:textId="77777777" w:rsidR="004F2498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2"/>
                <w:szCs w:val="16"/>
                <w:lang w:val="en-US"/>
              </w:rPr>
              <w:t>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4EF72E4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Support of ICT as a tool for learning in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special educational needs exist</w:t>
            </w:r>
            <w:r w:rsidR="001A136B"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s but is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uncoordinated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1174C5A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Use of ICT is focused on the areas of learning support and resource teaching.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5D8E306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School supports and encourages the use of a wide range of ICT resources and assistive technologies throughout the school to facilitate the inclusion of students with special educational needs</w:t>
            </w:r>
          </w:p>
          <w:p w14:paraId="5C8A3E36" w14:textId="77777777" w:rsidR="004F2498" w:rsidRPr="004E272D" w:rsidRDefault="004F2498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3009" w:type="dxa"/>
            <w:tcBorders>
              <w:bottom w:val="single" w:sz="4" w:space="0" w:color="000000" w:themeColor="text1"/>
            </w:tcBorders>
          </w:tcPr>
          <w:p w14:paraId="3E818013" w14:textId="77777777" w:rsidR="004F2498" w:rsidRPr="004E272D" w:rsidRDefault="004E272D" w:rsidP="004F2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</w:pP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School includes u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se of ICT</w:t>
            </w:r>
            <w:r w:rsidR="002C2B51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and assistive technologies in all Individual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Educational Plans (IEP) for students</w:t>
            </w: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with spe</w:t>
            </w: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cial educational needs and uses </w:t>
            </w:r>
            <w:r w:rsidRPr="004E272D"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 xml:space="preserve">ICT in all aspects of </w:t>
            </w:r>
            <w:r>
              <w:rPr>
                <w:rFonts w:ascii="Arial" w:hAnsi="Arial" w:cs="TheSansSemiBold-Plain"/>
                <w:color w:val="000000"/>
                <w:sz w:val="20"/>
                <w:szCs w:val="16"/>
                <w:lang w:val="en-US"/>
              </w:rPr>
              <w:t>SEN</w:t>
            </w:r>
          </w:p>
        </w:tc>
      </w:tr>
    </w:tbl>
    <w:p w14:paraId="71994A29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000000"/>
          <w:sz w:val="22"/>
          <w:szCs w:val="16"/>
          <w:lang w:val="en-US"/>
        </w:rPr>
      </w:pPr>
      <w:r w:rsidRPr="004F2498"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  <w:t>Integration</w:t>
      </w:r>
    </w:p>
    <w:p w14:paraId="20BF0035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000000"/>
          <w:sz w:val="22"/>
          <w:szCs w:val="16"/>
          <w:lang w:val="en-US"/>
        </w:rPr>
      </w:pPr>
      <w:r w:rsidRPr="004F2498">
        <w:rPr>
          <w:rFonts w:ascii="Arial" w:hAnsi="Arial" w:cs="TheSansSemiBold-Plain"/>
          <w:color w:val="000000"/>
          <w:sz w:val="22"/>
          <w:szCs w:val="16"/>
          <w:lang w:val="en-US"/>
        </w:rPr>
        <w:t xml:space="preserve">. </w:t>
      </w: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 xml:space="preserve">l </w:t>
      </w:r>
    </w:p>
    <w:p w14:paraId="5A77A7BA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000000"/>
          <w:sz w:val="22"/>
          <w:szCs w:val="16"/>
          <w:lang w:val="en-US"/>
        </w:rPr>
      </w:pPr>
      <w:r w:rsidRPr="004F2498">
        <w:rPr>
          <w:rFonts w:ascii="Arial" w:hAnsi="Arial" w:cs="TheSansSemiBold-Plain"/>
          <w:color w:val="000000"/>
          <w:sz w:val="22"/>
          <w:szCs w:val="16"/>
          <w:lang w:val="en-US"/>
        </w:rPr>
        <w:t>.</w:t>
      </w:r>
    </w:p>
    <w:p w14:paraId="3B6A666F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 xml:space="preserve">l </w:t>
      </w:r>
      <w:r w:rsidRPr="004F2498"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  <w:t>Use Policy</w:t>
      </w:r>
    </w:p>
    <w:p w14:paraId="7BE87E52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p w14:paraId="2143135E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p w14:paraId="254AAF21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p w14:paraId="3D2D3E62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p w14:paraId="0BBF14B0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</w:pPr>
      <w:r w:rsidRPr="004F2498"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  <w:t>Special</w:t>
      </w:r>
    </w:p>
    <w:p w14:paraId="3C896AAC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</w:pPr>
      <w:r w:rsidRPr="004F2498"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  <w:t>Educational</w:t>
      </w:r>
    </w:p>
    <w:p w14:paraId="7ECE0DF0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</w:pPr>
      <w:r w:rsidRPr="004F2498">
        <w:rPr>
          <w:rFonts w:ascii="Arial" w:hAnsi="Arial" w:cs="TheSansSemiBold-Plain"/>
          <w:b/>
          <w:bCs/>
          <w:color w:val="FFFFFF"/>
          <w:sz w:val="22"/>
          <w:szCs w:val="16"/>
          <w:lang w:val="en-US"/>
        </w:rPr>
        <w:t>Needs</w:t>
      </w:r>
    </w:p>
    <w:p w14:paraId="41F9BF00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000000"/>
          <w:sz w:val="22"/>
          <w:szCs w:val="16"/>
          <w:lang w:val="en-US"/>
        </w:rPr>
        <w:t xml:space="preserve">. </w:t>
      </w: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 xml:space="preserve">l </w:t>
      </w:r>
    </w:p>
    <w:p w14:paraId="252144EF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p w14:paraId="085E47D0" w14:textId="77777777" w:rsidR="004F2498" w:rsidRPr="004F2498" w:rsidRDefault="004F2498" w:rsidP="004F2498">
      <w:pPr>
        <w:widowControl w:val="0"/>
        <w:autoSpaceDE w:val="0"/>
        <w:autoSpaceDN w:val="0"/>
        <w:adjustRightInd w:val="0"/>
        <w:rPr>
          <w:rFonts w:ascii="Arial" w:hAnsi="Arial" w:cs="TheSansSemiBold-Plain"/>
          <w:color w:val="FFFFFF"/>
          <w:sz w:val="22"/>
          <w:szCs w:val="40"/>
          <w:lang w:val="en-US"/>
        </w:rPr>
      </w:pPr>
      <w:r w:rsidRPr="004F2498">
        <w:rPr>
          <w:rFonts w:ascii="Arial" w:hAnsi="Arial" w:cs="TheSansSemiBold-Plain"/>
          <w:color w:val="FFFFFF"/>
          <w:sz w:val="22"/>
          <w:szCs w:val="40"/>
          <w:lang w:val="en-US"/>
        </w:rPr>
        <w:t>l</w:t>
      </w:r>
    </w:p>
    <w:sectPr w:rsidR="004F2498" w:rsidRPr="004F2498" w:rsidSect="005B3B8D">
      <w:pgSz w:w="11899" w:h="16838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SemiBold-Plai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2498"/>
    <w:rsid w:val="001744A6"/>
    <w:rsid w:val="001A136B"/>
    <w:rsid w:val="002C2B51"/>
    <w:rsid w:val="004E272D"/>
    <w:rsid w:val="004F2498"/>
    <w:rsid w:val="005B3B8D"/>
    <w:rsid w:val="00706AA8"/>
    <w:rsid w:val="00760659"/>
    <w:rsid w:val="00A06F00"/>
    <w:rsid w:val="00B71A90"/>
    <w:rsid w:val="00CA5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23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21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24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pontydysgu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hughes</dc:creator>
  <cp:keywords/>
  <cp:lastModifiedBy>Jen Hughes</cp:lastModifiedBy>
  <cp:revision>4</cp:revision>
  <dcterms:created xsi:type="dcterms:W3CDTF">2017-02-08T17:18:00Z</dcterms:created>
  <dcterms:modified xsi:type="dcterms:W3CDTF">2017-02-08T17:51:00Z</dcterms:modified>
</cp:coreProperties>
</file>